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A44CCF" w14:paraId="7DE05E7A" w14:textId="77777777">
        <w:tblPrEx>
          <w:tblCellMar>
            <w:top w:w="0" w:type="dxa"/>
            <w:bottom w:w="0" w:type="dxa"/>
          </w:tblCellMar>
        </w:tblPrEx>
        <w:trPr>
          <w:tblCellSpacing w:w="60" w:type="dxa"/>
        </w:trPr>
        <w:tc>
          <w:tcPr>
            <w:tcW w:w="1200" w:type="pct"/>
            <w:shd w:val="clear" w:color="auto" w:fill="E7F0F9"/>
          </w:tcPr>
          <w:p w14:paraId="211CA33F" w14:textId="77777777" w:rsidR="00A44CCF" w:rsidRDefault="00000000">
            <w:pPr>
              <w:spacing w:after="0" w:line="240" w:lineRule="auto"/>
            </w:pPr>
            <w:r>
              <w:rPr>
                <w:b/>
              </w:rPr>
              <w:t>RKP broj</w:t>
            </w:r>
          </w:p>
        </w:tc>
        <w:tc>
          <w:tcPr>
            <w:tcW w:w="0" w:type="auto"/>
            <w:shd w:val="clear" w:color="auto" w:fill="E7F0F9"/>
          </w:tcPr>
          <w:p w14:paraId="62AF65C7" w14:textId="77777777" w:rsidR="00A44CCF" w:rsidRDefault="00000000">
            <w:pPr>
              <w:spacing w:after="0" w:line="240" w:lineRule="auto"/>
            </w:pPr>
            <w:r>
              <w:t>34459</w:t>
            </w:r>
          </w:p>
        </w:tc>
      </w:tr>
      <w:tr w:rsidR="00A44CCF" w14:paraId="2AB540EA" w14:textId="77777777">
        <w:tblPrEx>
          <w:tblCellMar>
            <w:top w:w="0" w:type="dxa"/>
            <w:bottom w:w="0" w:type="dxa"/>
          </w:tblCellMar>
        </w:tblPrEx>
        <w:trPr>
          <w:tblCellSpacing w:w="60" w:type="dxa"/>
        </w:trPr>
        <w:tc>
          <w:tcPr>
            <w:tcW w:w="1200" w:type="pct"/>
            <w:shd w:val="clear" w:color="auto" w:fill="E7F0F9"/>
          </w:tcPr>
          <w:p w14:paraId="239570B3" w14:textId="77777777" w:rsidR="00A44CCF" w:rsidRDefault="00000000">
            <w:pPr>
              <w:spacing w:after="0" w:line="240" w:lineRule="auto"/>
            </w:pPr>
            <w:r>
              <w:rPr>
                <w:b/>
              </w:rPr>
              <w:t>Naziv obveznika</w:t>
            </w:r>
          </w:p>
        </w:tc>
        <w:tc>
          <w:tcPr>
            <w:tcW w:w="0" w:type="auto"/>
            <w:shd w:val="clear" w:color="auto" w:fill="E7F0F9"/>
          </w:tcPr>
          <w:p w14:paraId="3711389A" w14:textId="77777777" w:rsidR="00A44CCF" w:rsidRDefault="00000000">
            <w:pPr>
              <w:spacing w:after="0" w:line="240" w:lineRule="auto"/>
            </w:pPr>
            <w:r>
              <w:t>JAVNA VATROGASNA POSTROJBA ROVINJ</w:t>
            </w:r>
          </w:p>
        </w:tc>
      </w:tr>
      <w:tr w:rsidR="00A44CCF" w14:paraId="64874358" w14:textId="77777777">
        <w:tblPrEx>
          <w:tblCellMar>
            <w:top w:w="0" w:type="dxa"/>
            <w:bottom w:w="0" w:type="dxa"/>
          </w:tblCellMar>
        </w:tblPrEx>
        <w:trPr>
          <w:tblCellSpacing w:w="60" w:type="dxa"/>
        </w:trPr>
        <w:tc>
          <w:tcPr>
            <w:tcW w:w="1200" w:type="pct"/>
            <w:shd w:val="clear" w:color="auto" w:fill="E7F0F9"/>
          </w:tcPr>
          <w:p w14:paraId="06882A1A" w14:textId="77777777" w:rsidR="00A44CCF" w:rsidRDefault="00000000">
            <w:pPr>
              <w:spacing w:after="0" w:line="240" w:lineRule="auto"/>
            </w:pPr>
            <w:r>
              <w:rPr>
                <w:b/>
              </w:rPr>
              <w:t>Razina</w:t>
            </w:r>
          </w:p>
        </w:tc>
        <w:tc>
          <w:tcPr>
            <w:tcW w:w="0" w:type="auto"/>
            <w:shd w:val="clear" w:color="auto" w:fill="E7F0F9"/>
          </w:tcPr>
          <w:p w14:paraId="30C3D9CC" w14:textId="77777777" w:rsidR="00A44CCF" w:rsidRDefault="00000000">
            <w:pPr>
              <w:spacing w:after="0" w:line="240" w:lineRule="auto"/>
            </w:pPr>
            <w:r>
              <w:t>31</w:t>
            </w:r>
          </w:p>
        </w:tc>
      </w:tr>
    </w:tbl>
    <w:p w14:paraId="342F77D0" w14:textId="77777777" w:rsidR="00A44CCF" w:rsidRDefault="00000000">
      <w:r>
        <w:br/>
      </w:r>
    </w:p>
    <w:p w14:paraId="1C142F2C" w14:textId="77777777" w:rsidR="00A44CCF" w:rsidRDefault="00000000">
      <w:pPr>
        <w:spacing w:line="240" w:lineRule="auto"/>
        <w:jc w:val="center"/>
      </w:pPr>
      <w:r>
        <w:rPr>
          <w:b/>
          <w:sz w:val="28"/>
        </w:rPr>
        <w:t>BILJEŠKE UZ FINANCIJSKE IZVJEŠTAJE</w:t>
      </w:r>
    </w:p>
    <w:p w14:paraId="4D625ED6" w14:textId="77777777" w:rsidR="00A44CCF" w:rsidRDefault="00000000">
      <w:pPr>
        <w:spacing w:line="240" w:lineRule="auto"/>
        <w:jc w:val="center"/>
      </w:pPr>
      <w:r>
        <w:rPr>
          <w:b/>
          <w:sz w:val="28"/>
        </w:rPr>
        <w:t>ZA RAZDOBLJE</w:t>
      </w:r>
    </w:p>
    <w:p w14:paraId="51DD05E4" w14:textId="77777777" w:rsidR="00A44CCF" w:rsidRDefault="00000000">
      <w:pPr>
        <w:spacing w:line="240" w:lineRule="auto"/>
        <w:jc w:val="center"/>
      </w:pPr>
      <w:r>
        <w:rPr>
          <w:b/>
          <w:sz w:val="28"/>
        </w:rPr>
        <w:t>I - VI 2025.</w:t>
      </w:r>
    </w:p>
    <w:p w14:paraId="2737E6FA" w14:textId="77777777" w:rsidR="00A44CCF" w:rsidRDefault="00A44CCF"/>
    <w:p w14:paraId="26A4D4EC" w14:textId="77777777" w:rsidR="00A44CCF" w:rsidRDefault="00000000">
      <w:pPr>
        <w:keepNext/>
        <w:spacing w:line="240" w:lineRule="auto"/>
        <w:jc w:val="center"/>
      </w:pPr>
      <w:r>
        <w:rPr>
          <w:b/>
          <w:sz w:val="28"/>
        </w:rPr>
        <w:t>Izvještaj o prihodima i rashodima, primicima i izdacima</w:t>
      </w:r>
    </w:p>
    <w:p w14:paraId="1C891BE2" w14:textId="77777777" w:rsidR="00A44CCF"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44CCF" w14:paraId="582DB2F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2FF5EC7" w14:textId="77777777" w:rsidR="00A44CC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9E3E28B" w14:textId="77777777" w:rsidR="00A44CC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676B7B4" w14:textId="77777777" w:rsidR="00A44CC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7239A0" w14:textId="77777777" w:rsidR="00A44CC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01982AC" w14:textId="77777777" w:rsidR="00A44CC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DB6C844" w14:textId="77777777" w:rsidR="00A44CCF" w:rsidRDefault="00000000">
            <w:pPr>
              <w:keepNext/>
              <w:keepLines/>
              <w:spacing w:after="0" w:line="240" w:lineRule="auto"/>
              <w:jc w:val="center"/>
            </w:pPr>
            <w:r>
              <w:rPr>
                <w:b/>
                <w:sz w:val="18"/>
              </w:rPr>
              <w:t>Indeks (%)</w:t>
            </w:r>
          </w:p>
        </w:tc>
      </w:tr>
      <w:tr w:rsidR="00A44CCF" w14:paraId="04BA1504" w14:textId="77777777">
        <w:tblPrEx>
          <w:tblCellMar>
            <w:top w:w="0" w:type="dxa"/>
            <w:bottom w:w="0" w:type="dxa"/>
          </w:tblCellMar>
        </w:tblPrEx>
        <w:trPr>
          <w:cantSplit/>
          <w:trHeight w:val="560"/>
        </w:trPr>
        <w:tc>
          <w:tcPr>
            <w:tcW w:w="700" w:type="dxa"/>
            <w:tcMar>
              <w:top w:w="0" w:type="dxa"/>
              <w:bottom w:w="0" w:type="dxa"/>
            </w:tcMar>
            <w:vAlign w:val="center"/>
          </w:tcPr>
          <w:p w14:paraId="6C388F64" w14:textId="77777777" w:rsidR="00A44CCF" w:rsidRDefault="00000000">
            <w:pPr>
              <w:keepNext/>
              <w:keepLines/>
              <w:spacing w:after="0" w:line="240" w:lineRule="auto"/>
            </w:pPr>
            <w:r>
              <w:rPr>
                <w:sz w:val="18"/>
              </w:rPr>
              <w:t>6</w:t>
            </w:r>
          </w:p>
        </w:tc>
        <w:tc>
          <w:tcPr>
            <w:tcW w:w="3180" w:type="dxa"/>
            <w:tcMar>
              <w:top w:w="0" w:type="dxa"/>
              <w:bottom w:w="0" w:type="dxa"/>
            </w:tcMar>
            <w:vAlign w:val="center"/>
          </w:tcPr>
          <w:p w14:paraId="50E1D65B" w14:textId="77777777" w:rsidR="00A44CCF"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02E9319C" w14:textId="77777777" w:rsidR="00A44CCF" w:rsidRDefault="00000000">
            <w:pPr>
              <w:keepNext/>
              <w:keepLines/>
              <w:spacing w:after="0" w:line="240" w:lineRule="auto"/>
            </w:pPr>
            <w:r>
              <w:rPr>
                <w:sz w:val="18"/>
              </w:rPr>
              <w:t>6</w:t>
            </w:r>
          </w:p>
        </w:tc>
        <w:tc>
          <w:tcPr>
            <w:tcW w:w="1860" w:type="dxa"/>
            <w:tcMar>
              <w:top w:w="0" w:type="dxa"/>
              <w:bottom w:w="0" w:type="dxa"/>
            </w:tcMar>
            <w:vAlign w:val="center"/>
          </w:tcPr>
          <w:p w14:paraId="4720EB43" w14:textId="77777777" w:rsidR="00A44CCF" w:rsidRDefault="00000000">
            <w:pPr>
              <w:keepNext/>
              <w:keepLines/>
              <w:spacing w:after="0" w:line="240" w:lineRule="auto"/>
              <w:jc w:val="right"/>
            </w:pPr>
            <w:r>
              <w:rPr>
                <w:sz w:val="18"/>
              </w:rPr>
              <w:t>608.333,65</w:t>
            </w:r>
          </w:p>
        </w:tc>
        <w:tc>
          <w:tcPr>
            <w:tcW w:w="1860" w:type="dxa"/>
            <w:tcMar>
              <w:top w:w="0" w:type="dxa"/>
              <w:bottom w:w="0" w:type="dxa"/>
            </w:tcMar>
            <w:vAlign w:val="center"/>
          </w:tcPr>
          <w:p w14:paraId="54EE4F05" w14:textId="77777777" w:rsidR="00A44CCF" w:rsidRDefault="00000000">
            <w:pPr>
              <w:keepNext/>
              <w:keepLines/>
              <w:spacing w:after="0" w:line="240" w:lineRule="auto"/>
              <w:jc w:val="right"/>
            </w:pPr>
            <w:r>
              <w:rPr>
                <w:sz w:val="18"/>
              </w:rPr>
              <w:t>882.487,98</w:t>
            </w:r>
          </w:p>
        </w:tc>
        <w:tc>
          <w:tcPr>
            <w:tcW w:w="700" w:type="dxa"/>
            <w:tcMar>
              <w:top w:w="0" w:type="dxa"/>
              <w:bottom w:w="0" w:type="dxa"/>
            </w:tcMar>
            <w:vAlign w:val="center"/>
          </w:tcPr>
          <w:p w14:paraId="555A4FF4" w14:textId="77777777" w:rsidR="00A44CCF" w:rsidRDefault="00000000">
            <w:pPr>
              <w:keepNext/>
              <w:keepLines/>
              <w:spacing w:after="0" w:line="240" w:lineRule="auto"/>
              <w:jc w:val="right"/>
            </w:pPr>
            <w:r>
              <w:rPr>
                <w:sz w:val="18"/>
              </w:rPr>
              <w:t>145,1</w:t>
            </w:r>
          </w:p>
        </w:tc>
      </w:tr>
      <w:tr w:rsidR="00A44CCF" w14:paraId="576F0CF7" w14:textId="77777777">
        <w:tblPrEx>
          <w:tblCellMar>
            <w:top w:w="0" w:type="dxa"/>
            <w:bottom w:w="0" w:type="dxa"/>
          </w:tblCellMar>
        </w:tblPrEx>
        <w:trPr>
          <w:cantSplit/>
          <w:trHeight w:val="560"/>
        </w:trPr>
        <w:tc>
          <w:tcPr>
            <w:tcW w:w="700" w:type="dxa"/>
            <w:tcMar>
              <w:top w:w="0" w:type="dxa"/>
              <w:bottom w:w="0" w:type="dxa"/>
            </w:tcMar>
            <w:vAlign w:val="center"/>
          </w:tcPr>
          <w:p w14:paraId="71C4F7F7" w14:textId="77777777" w:rsidR="00A44CCF" w:rsidRDefault="00000000">
            <w:pPr>
              <w:keepNext/>
              <w:keepLines/>
              <w:spacing w:after="0" w:line="240" w:lineRule="auto"/>
            </w:pPr>
            <w:r>
              <w:rPr>
                <w:sz w:val="18"/>
              </w:rPr>
              <w:t>3</w:t>
            </w:r>
          </w:p>
        </w:tc>
        <w:tc>
          <w:tcPr>
            <w:tcW w:w="3180" w:type="dxa"/>
            <w:tcMar>
              <w:top w:w="0" w:type="dxa"/>
              <w:bottom w:w="0" w:type="dxa"/>
            </w:tcMar>
            <w:vAlign w:val="center"/>
          </w:tcPr>
          <w:p w14:paraId="2C69C3CE" w14:textId="77777777" w:rsidR="00A44CCF"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70898016" w14:textId="77777777" w:rsidR="00A44CCF" w:rsidRDefault="00000000">
            <w:pPr>
              <w:keepNext/>
              <w:keepLines/>
              <w:spacing w:after="0" w:line="240" w:lineRule="auto"/>
            </w:pPr>
            <w:r>
              <w:rPr>
                <w:sz w:val="18"/>
              </w:rPr>
              <w:t>3</w:t>
            </w:r>
          </w:p>
        </w:tc>
        <w:tc>
          <w:tcPr>
            <w:tcW w:w="1860" w:type="dxa"/>
            <w:tcMar>
              <w:top w:w="0" w:type="dxa"/>
              <w:bottom w:w="0" w:type="dxa"/>
            </w:tcMar>
            <w:vAlign w:val="center"/>
          </w:tcPr>
          <w:p w14:paraId="6603CC6B" w14:textId="77777777" w:rsidR="00A44CCF" w:rsidRDefault="00000000">
            <w:pPr>
              <w:keepNext/>
              <w:keepLines/>
              <w:spacing w:after="0" w:line="240" w:lineRule="auto"/>
              <w:jc w:val="right"/>
            </w:pPr>
            <w:r>
              <w:rPr>
                <w:sz w:val="18"/>
              </w:rPr>
              <w:t>600.939,14</w:t>
            </w:r>
          </w:p>
        </w:tc>
        <w:tc>
          <w:tcPr>
            <w:tcW w:w="1860" w:type="dxa"/>
            <w:tcMar>
              <w:top w:w="0" w:type="dxa"/>
              <w:bottom w:w="0" w:type="dxa"/>
            </w:tcMar>
            <w:vAlign w:val="center"/>
          </w:tcPr>
          <w:p w14:paraId="3AC60B99" w14:textId="77777777" w:rsidR="00A44CCF" w:rsidRDefault="00000000">
            <w:pPr>
              <w:keepNext/>
              <w:keepLines/>
              <w:spacing w:after="0" w:line="240" w:lineRule="auto"/>
              <w:jc w:val="right"/>
            </w:pPr>
            <w:r>
              <w:rPr>
                <w:sz w:val="18"/>
              </w:rPr>
              <w:t>855.376,78</w:t>
            </w:r>
          </w:p>
        </w:tc>
        <w:tc>
          <w:tcPr>
            <w:tcW w:w="700" w:type="dxa"/>
            <w:tcMar>
              <w:top w:w="0" w:type="dxa"/>
              <w:bottom w:w="0" w:type="dxa"/>
            </w:tcMar>
            <w:vAlign w:val="center"/>
          </w:tcPr>
          <w:p w14:paraId="5AB7C78B" w14:textId="77777777" w:rsidR="00A44CCF" w:rsidRDefault="00000000">
            <w:pPr>
              <w:keepNext/>
              <w:keepLines/>
              <w:spacing w:after="0" w:line="240" w:lineRule="auto"/>
              <w:jc w:val="right"/>
            </w:pPr>
            <w:r>
              <w:rPr>
                <w:sz w:val="18"/>
              </w:rPr>
              <w:t>142,3</w:t>
            </w:r>
          </w:p>
        </w:tc>
      </w:tr>
      <w:tr w:rsidR="00A44CCF" w14:paraId="0E9FC5B9" w14:textId="77777777">
        <w:tblPrEx>
          <w:tblCellMar>
            <w:top w:w="0" w:type="dxa"/>
            <w:bottom w:w="0" w:type="dxa"/>
          </w:tblCellMar>
        </w:tblPrEx>
        <w:trPr>
          <w:cantSplit/>
          <w:trHeight w:val="560"/>
        </w:trPr>
        <w:tc>
          <w:tcPr>
            <w:tcW w:w="700" w:type="dxa"/>
            <w:tcMar>
              <w:top w:w="0" w:type="dxa"/>
              <w:bottom w:w="0" w:type="dxa"/>
            </w:tcMar>
            <w:vAlign w:val="center"/>
          </w:tcPr>
          <w:p w14:paraId="5A514808" w14:textId="77777777" w:rsidR="00A44CCF" w:rsidRDefault="00A44CCF">
            <w:pPr>
              <w:keepNext/>
              <w:keepLines/>
              <w:spacing w:after="0" w:line="240" w:lineRule="auto"/>
            </w:pPr>
          </w:p>
        </w:tc>
        <w:tc>
          <w:tcPr>
            <w:tcW w:w="3180" w:type="dxa"/>
            <w:tcMar>
              <w:top w:w="0" w:type="dxa"/>
              <w:bottom w:w="0" w:type="dxa"/>
            </w:tcMar>
            <w:vAlign w:val="center"/>
          </w:tcPr>
          <w:p w14:paraId="7B452EBF" w14:textId="77777777" w:rsidR="00A44CCF"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281F5F68" w14:textId="77777777" w:rsidR="00A44CCF" w:rsidRDefault="00000000">
            <w:pPr>
              <w:keepNext/>
              <w:keepLines/>
              <w:spacing w:after="0" w:line="240" w:lineRule="auto"/>
            </w:pPr>
            <w:r>
              <w:rPr>
                <w:b/>
                <w:sz w:val="18"/>
              </w:rPr>
              <w:t>X001</w:t>
            </w:r>
          </w:p>
        </w:tc>
        <w:tc>
          <w:tcPr>
            <w:tcW w:w="1860" w:type="dxa"/>
            <w:tcMar>
              <w:top w:w="0" w:type="dxa"/>
              <w:bottom w:w="0" w:type="dxa"/>
            </w:tcMar>
            <w:vAlign w:val="center"/>
          </w:tcPr>
          <w:p w14:paraId="569BE2BC" w14:textId="77777777" w:rsidR="00A44CCF" w:rsidRDefault="00000000">
            <w:pPr>
              <w:keepNext/>
              <w:keepLines/>
              <w:spacing w:after="0" w:line="240" w:lineRule="auto"/>
              <w:jc w:val="right"/>
            </w:pPr>
            <w:r>
              <w:rPr>
                <w:b/>
                <w:sz w:val="18"/>
              </w:rPr>
              <w:t>7.394,51</w:t>
            </w:r>
          </w:p>
        </w:tc>
        <w:tc>
          <w:tcPr>
            <w:tcW w:w="1860" w:type="dxa"/>
            <w:tcMar>
              <w:top w:w="0" w:type="dxa"/>
              <w:bottom w:w="0" w:type="dxa"/>
            </w:tcMar>
            <w:vAlign w:val="center"/>
          </w:tcPr>
          <w:p w14:paraId="35562ADA" w14:textId="77777777" w:rsidR="00A44CCF" w:rsidRDefault="00000000">
            <w:pPr>
              <w:keepNext/>
              <w:keepLines/>
              <w:spacing w:after="0" w:line="240" w:lineRule="auto"/>
              <w:jc w:val="right"/>
            </w:pPr>
            <w:r>
              <w:rPr>
                <w:b/>
                <w:sz w:val="18"/>
              </w:rPr>
              <w:t>27.111,20</w:t>
            </w:r>
          </w:p>
        </w:tc>
        <w:tc>
          <w:tcPr>
            <w:tcW w:w="700" w:type="dxa"/>
            <w:tcMar>
              <w:top w:w="0" w:type="dxa"/>
              <w:bottom w:w="0" w:type="dxa"/>
            </w:tcMar>
            <w:vAlign w:val="center"/>
          </w:tcPr>
          <w:p w14:paraId="45B6BDE5" w14:textId="77777777" w:rsidR="00A44CCF" w:rsidRDefault="00000000">
            <w:pPr>
              <w:keepNext/>
              <w:keepLines/>
              <w:spacing w:after="0" w:line="240" w:lineRule="auto"/>
              <w:jc w:val="right"/>
            </w:pPr>
            <w:r>
              <w:rPr>
                <w:b/>
                <w:sz w:val="18"/>
              </w:rPr>
              <w:t>366,6</w:t>
            </w:r>
          </w:p>
        </w:tc>
      </w:tr>
      <w:tr w:rsidR="00A44CCF" w14:paraId="2AC905C0" w14:textId="77777777">
        <w:tblPrEx>
          <w:tblCellMar>
            <w:top w:w="0" w:type="dxa"/>
            <w:bottom w:w="0" w:type="dxa"/>
          </w:tblCellMar>
        </w:tblPrEx>
        <w:trPr>
          <w:cantSplit/>
          <w:trHeight w:val="560"/>
        </w:trPr>
        <w:tc>
          <w:tcPr>
            <w:tcW w:w="700" w:type="dxa"/>
            <w:tcMar>
              <w:top w:w="0" w:type="dxa"/>
              <w:bottom w:w="0" w:type="dxa"/>
            </w:tcMar>
            <w:vAlign w:val="center"/>
          </w:tcPr>
          <w:p w14:paraId="22710148" w14:textId="77777777" w:rsidR="00A44CCF" w:rsidRDefault="00000000">
            <w:pPr>
              <w:keepNext/>
              <w:keepLines/>
              <w:spacing w:after="0" w:line="240" w:lineRule="auto"/>
            </w:pPr>
            <w:r>
              <w:rPr>
                <w:sz w:val="18"/>
              </w:rPr>
              <w:t>7</w:t>
            </w:r>
          </w:p>
        </w:tc>
        <w:tc>
          <w:tcPr>
            <w:tcW w:w="3180" w:type="dxa"/>
            <w:tcMar>
              <w:top w:w="0" w:type="dxa"/>
              <w:bottom w:w="0" w:type="dxa"/>
            </w:tcMar>
            <w:vAlign w:val="center"/>
          </w:tcPr>
          <w:p w14:paraId="644AEE09" w14:textId="77777777" w:rsidR="00A44CCF"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299AC908" w14:textId="77777777" w:rsidR="00A44CCF" w:rsidRDefault="00000000">
            <w:pPr>
              <w:keepNext/>
              <w:keepLines/>
              <w:spacing w:after="0" w:line="240" w:lineRule="auto"/>
            </w:pPr>
            <w:r>
              <w:rPr>
                <w:sz w:val="18"/>
              </w:rPr>
              <w:t>7</w:t>
            </w:r>
          </w:p>
        </w:tc>
        <w:tc>
          <w:tcPr>
            <w:tcW w:w="1860" w:type="dxa"/>
            <w:tcMar>
              <w:top w:w="0" w:type="dxa"/>
              <w:bottom w:w="0" w:type="dxa"/>
            </w:tcMar>
            <w:vAlign w:val="center"/>
          </w:tcPr>
          <w:p w14:paraId="321EF1C1" w14:textId="77777777" w:rsidR="00A44CCF" w:rsidRDefault="00000000">
            <w:pPr>
              <w:keepNext/>
              <w:keepLines/>
              <w:spacing w:after="0" w:line="240" w:lineRule="auto"/>
              <w:jc w:val="right"/>
            </w:pPr>
            <w:r>
              <w:rPr>
                <w:sz w:val="18"/>
              </w:rPr>
              <w:t>0,00</w:t>
            </w:r>
          </w:p>
        </w:tc>
        <w:tc>
          <w:tcPr>
            <w:tcW w:w="1860" w:type="dxa"/>
            <w:tcMar>
              <w:top w:w="0" w:type="dxa"/>
              <w:bottom w:w="0" w:type="dxa"/>
            </w:tcMar>
            <w:vAlign w:val="center"/>
          </w:tcPr>
          <w:p w14:paraId="682D3547" w14:textId="77777777" w:rsidR="00A44CCF" w:rsidRDefault="00000000">
            <w:pPr>
              <w:keepNext/>
              <w:keepLines/>
              <w:spacing w:after="0" w:line="240" w:lineRule="auto"/>
              <w:jc w:val="right"/>
            </w:pPr>
            <w:r>
              <w:rPr>
                <w:sz w:val="18"/>
              </w:rPr>
              <w:t>0,00</w:t>
            </w:r>
          </w:p>
        </w:tc>
        <w:tc>
          <w:tcPr>
            <w:tcW w:w="700" w:type="dxa"/>
            <w:tcMar>
              <w:top w:w="0" w:type="dxa"/>
              <w:bottom w:w="0" w:type="dxa"/>
            </w:tcMar>
            <w:vAlign w:val="center"/>
          </w:tcPr>
          <w:p w14:paraId="2961DF87" w14:textId="77777777" w:rsidR="00A44CCF" w:rsidRDefault="00000000">
            <w:pPr>
              <w:keepNext/>
              <w:keepLines/>
              <w:spacing w:after="0" w:line="240" w:lineRule="auto"/>
              <w:jc w:val="right"/>
            </w:pPr>
            <w:r>
              <w:rPr>
                <w:sz w:val="18"/>
              </w:rPr>
              <w:t>-</w:t>
            </w:r>
          </w:p>
        </w:tc>
      </w:tr>
      <w:tr w:rsidR="00A44CCF" w14:paraId="7C2A14B3" w14:textId="77777777">
        <w:tblPrEx>
          <w:tblCellMar>
            <w:top w:w="0" w:type="dxa"/>
            <w:bottom w:w="0" w:type="dxa"/>
          </w:tblCellMar>
        </w:tblPrEx>
        <w:trPr>
          <w:cantSplit/>
          <w:trHeight w:val="560"/>
        </w:trPr>
        <w:tc>
          <w:tcPr>
            <w:tcW w:w="700" w:type="dxa"/>
            <w:tcMar>
              <w:top w:w="0" w:type="dxa"/>
              <w:bottom w:w="0" w:type="dxa"/>
            </w:tcMar>
            <w:vAlign w:val="center"/>
          </w:tcPr>
          <w:p w14:paraId="7CEE6A11" w14:textId="77777777" w:rsidR="00A44CCF" w:rsidRDefault="00000000">
            <w:pPr>
              <w:keepNext/>
              <w:keepLines/>
              <w:spacing w:after="0" w:line="240" w:lineRule="auto"/>
            </w:pPr>
            <w:r>
              <w:rPr>
                <w:sz w:val="18"/>
              </w:rPr>
              <w:t>4</w:t>
            </w:r>
          </w:p>
        </w:tc>
        <w:tc>
          <w:tcPr>
            <w:tcW w:w="3180" w:type="dxa"/>
            <w:tcMar>
              <w:top w:w="0" w:type="dxa"/>
              <w:bottom w:w="0" w:type="dxa"/>
            </w:tcMar>
            <w:vAlign w:val="center"/>
          </w:tcPr>
          <w:p w14:paraId="61680DC7" w14:textId="77777777" w:rsidR="00A44CCF"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FE57204" w14:textId="77777777" w:rsidR="00A44CCF" w:rsidRDefault="00000000">
            <w:pPr>
              <w:keepNext/>
              <w:keepLines/>
              <w:spacing w:after="0" w:line="240" w:lineRule="auto"/>
            </w:pPr>
            <w:r>
              <w:rPr>
                <w:sz w:val="18"/>
              </w:rPr>
              <w:t>4</w:t>
            </w:r>
          </w:p>
        </w:tc>
        <w:tc>
          <w:tcPr>
            <w:tcW w:w="1860" w:type="dxa"/>
            <w:tcMar>
              <w:top w:w="0" w:type="dxa"/>
              <w:bottom w:w="0" w:type="dxa"/>
            </w:tcMar>
            <w:vAlign w:val="center"/>
          </w:tcPr>
          <w:p w14:paraId="505404C7" w14:textId="77777777" w:rsidR="00A44CCF" w:rsidRDefault="00000000">
            <w:pPr>
              <w:keepNext/>
              <w:keepLines/>
              <w:spacing w:after="0" w:line="240" w:lineRule="auto"/>
              <w:jc w:val="right"/>
            </w:pPr>
            <w:r>
              <w:rPr>
                <w:sz w:val="18"/>
              </w:rPr>
              <w:t>5.142,68</w:t>
            </w:r>
          </w:p>
        </w:tc>
        <w:tc>
          <w:tcPr>
            <w:tcW w:w="1860" w:type="dxa"/>
            <w:tcMar>
              <w:top w:w="0" w:type="dxa"/>
              <w:bottom w:w="0" w:type="dxa"/>
            </w:tcMar>
            <w:vAlign w:val="center"/>
          </w:tcPr>
          <w:p w14:paraId="424833EA" w14:textId="77777777" w:rsidR="00A44CCF" w:rsidRDefault="00000000">
            <w:pPr>
              <w:keepNext/>
              <w:keepLines/>
              <w:spacing w:after="0" w:line="240" w:lineRule="auto"/>
              <w:jc w:val="right"/>
            </w:pPr>
            <w:r>
              <w:rPr>
                <w:sz w:val="18"/>
              </w:rPr>
              <w:t>1.083,50</w:t>
            </w:r>
          </w:p>
        </w:tc>
        <w:tc>
          <w:tcPr>
            <w:tcW w:w="700" w:type="dxa"/>
            <w:tcMar>
              <w:top w:w="0" w:type="dxa"/>
              <w:bottom w:w="0" w:type="dxa"/>
            </w:tcMar>
            <w:vAlign w:val="center"/>
          </w:tcPr>
          <w:p w14:paraId="66FC67E1" w14:textId="77777777" w:rsidR="00A44CCF" w:rsidRDefault="00000000">
            <w:pPr>
              <w:keepNext/>
              <w:keepLines/>
              <w:spacing w:after="0" w:line="240" w:lineRule="auto"/>
              <w:jc w:val="right"/>
            </w:pPr>
            <w:r>
              <w:rPr>
                <w:sz w:val="18"/>
              </w:rPr>
              <w:t>21,1</w:t>
            </w:r>
          </w:p>
        </w:tc>
      </w:tr>
      <w:tr w:rsidR="00A44CCF" w14:paraId="6CAECA06" w14:textId="77777777">
        <w:tblPrEx>
          <w:tblCellMar>
            <w:top w:w="0" w:type="dxa"/>
            <w:bottom w:w="0" w:type="dxa"/>
          </w:tblCellMar>
        </w:tblPrEx>
        <w:trPr>
          <w:cantSplit/>
          <w:trHeight w:val="560"/>
        </w:trPr>
        <w:tc>
          <w:tcPr>
            <w:tcW w:w="700" w:type="dxa"/>
            <w:tcMar>
              <w:top w:w="0" w:type="dxa"/>
              <w:bottom w:w="0" w:type="dxa"/>
            </w:tcMar>
            <w:vAlign w:val="center"/>
          </w:tcPr>
          <w:p w14:paraId="756921CB" w14:textId="77777777" w:rsidR="00A44CCF" w:rsidRDefault="00A44CCF">
            <w:pPr>
              <w:keepNext/>
              <w:keepLines/>
              <w:spacing w:after="0" w:line="240" w:lineRule="auto"/>
            </w:pPr>
          </w:p>
        </w:tc>
        <w:tc>
          <w:tcPr>
            <w:tcW w:w="3180" w:type="dxa"/>
            <w:tcMar>
              <w:top w:w="0" w:type="dxa"/>
              <w:bottom w:w="0" w:type="dxa"/>
            </w:tcMar>
            <w:vAlign w:val="center"/>
          </w:tcPr>
          <w:p w14:paraId="5D4251DE" w14:textId="77777777" w:rsidR="00A44CCF"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544BABDB" w14:textId="77777777" w:rsidR="00A44CCF" w:rsidRDefault="00000000">
            <w:pPr>
              <w:keepNext/>
              <w:keepLines/>
              <w:spacing w:after="0" w:line="240" w:lineRule="auto"/>
            </w:pPr>
            <w:r>
              <w:rPr>
                <w:b/>
                <w:sz w:val="18"/>
              </w:rPr>
              <w:t>Y002</w:t>
            </w:r>
          </w:p>
        </w:tc>
        <w:tc>
          <w:tcPr>
            <w:tcW w:w="1860" w:type="dxa"/>
            <w:tcMar>
              <w:top w:w="0" w:type="dxa"/>
              <w:bottom w:w="0" w:type="dxa"/>
            </w:tcMar>
            <w:vAlign w:val="center"/>
          </w:tcPr>
          <w:p w14:paraId="760CD436" w14:textId="77777777" w:rsidR="00A44CCF" w:rsidRDefault="00000000">
            <w:pPr>
              <w:keepNext/>
              <w:keepLines/>
              <w:spacing w:after="0" w:line="240" w:lineRule="auto"/>
              <w:jc w:val="right"/>
            </w:pPr>
            <w:r>
              <w:rPr>
                <w:b/>
                <w:sz w:val="18"/>
              </w:rPr>
              <w:t>5.142,68</w:t>
            </w:r>
          </w:p>
        </w:tc>
        <w:tc>
          <w:tcPr>
            <w:tcW w:w="1860" w:type="dxa"/>
            <w:tcMar>
              <w:top w:w="0" w:type="dxa"/>
              <w:bottom w:w="0" w:type="dxa"/>
            </w:tcMar>
            <w:vAlign w:val="center"/>
          </w:tcPr>
          <w:p w14:paraId="65360BC8" w14:textId="77777777" w:rsidR="00A44CCF" w:rsidRDefault="00000000">
            <w:pPr>
              <w:keepNext/>
              <w:keepLines/>
              <w:spacing w:after="0" w:line="240" w:lineRule="auto"/>
              <w:jc w:val="right"/>
            </w:pPr>
            <w:r>
              <w:rPr>
                <w:b/>
                <w:sz w:val="18"/>
              </w:rPr>
              <w:t>1.083,50</w:t>
            </w:r>
          </w:p>
        </w:tc>
        <w:tc>
          <w:tcPr>
            <w:tcW w:w="700" w:type="dxa"/>
            <w:tcMar>
              <w:top w:w="0" w:type="dxa"/>
              <w:bottom w:w="0" w:type="dxa"/>
            </w:tcMar>
            <w:vAlign w:val="center"/>
          </w:tcPr>
          <w:p w14:paraId="656EF4B6" w14:textId="77777777" w:rsidR="00A44CCF" w:rsidRDefault="00000000">
            <w:pPr>
              <w:keepNext/>
              <w:keepLines/>
              <w:spacing w:after="0" w:line="240" w:lineRule="auto"/>
              <w:jc w:val="right"/>
            </w:pPr>
            <w:r>
              <w:rPr>
                <w:b/>
                <w:sz w:val="18"/>
              </w:rPr>
              <w:t>21,1</w:t>
            </w:r>
          </w:p>
        </w:tc>
      </w:tr>
      <w:tr w:rsidR="00A44CCF" w14:paraId="729AD52E" w14:textId="77777777">
        <w:tblPrEx>
          <w:tblCellMar>
            <w:top w:w="0" w:type="dxa"/>
            <w:bottom w:w="0" w:type="dxa"/>
          </w:tblCellMar>
        </w:tblPrEx>
        <w:trPr>
          <w:cantSplit/>
          <w:trHeight w:val="560"/>
        </w:trPr>
        <w:tc>
          <w:tcPr>
            <w:tcW w:w="700" w:type="dxa"/>
            <w:tcMar>
              <w:top w:w="0" w:type="dxa"/>
              <w:bottom w:w="0" w:type="dxa"/>
            </w:tcMar>
            <w:vAlign w:val="center"/>
          </w:tcPr>
          <w:p w14:paraId="08893534" w14:textId="77777777" w:rsidR="00A44CCF" w:rsidRDefault="00000000">
            <w:pPr>
              <w:keepNext/>
              <w:keepLines/>
              <w:spacing w:after="0" w:line="240" w:lineRule="auto"/>
            </w:pPr>
            <w:r>
              <w:rPr>
                <w:sz w:val="18"/>
              </w:rPr>
              <w:t>8</w:t>
            </w:r>
          </w:p>
        </w:tc>
        <w:tc>
          <w:tcPr>
            <w:tcW w:w="3180" w:type="dxa"/>
            <w:tcMar>
              <w:top w:w="0" w:type="dxa"/>
              <w:bottom w:w="0" w:type="dxa"/>
            </w:tcMar>
            <w:vAlign w:val="center"/>
          </w:tcPr>
          <w:p w14:paraId="12CACA75" w14:textId="77777777" w:rsidR="00A44CCF"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08C5B7AF" w14:textId="77777777" w:rsidR="00A44CCF" w:rsidRDefault="00000000">
            <w:pPr>
              <w:keepNext/>
              <w:keepLines/>
              <w:spacing w:after="0" w:line="240" w:lineRule="auto"/>
            </w:pPr>
            <w:r>
              <w:rPr>
                <w:sz w:val="18"/>
              </w:rPr>
              <w:t>8</w:t>
            </w:r>
          </w:p>
        </w:tc>
        <w:tc>
          <w:tcPr>
            <w:tcW w:w="1860" w:type="dxa"/>
            <w:tcMar>
              <w:top w:w="0" w:type="dxa"/>
              <w:bottom w:w="0" w:type="dxa"/>
            </w:tcMar>
            <w:vAlign w:val="center"/>
          </w:tcPr>
          <w:p w14:paraId="24246B80" w14:textId="77777777" w:rsidR="00A44CCF" w:rsidRDefault="00000000">
            <w:pPr>
              <w:keepNext/>
              <w:keepLines/>
              <w:spacing w:after="0" w:line="240" w:lineRule="auto"/>
              <w:jc w:val="right"/>
            </w:pPr>
            <w:r>
              <w:rPr>
                <w:sz w:val="18"/>
              </w:rPr>
              <w:t>0,00</w:t>
            </w:r>
          </w:p>
        </w:tc>
        <w:tc>
          <w:tcPr>
            <w:tcW w:w="1860" w:type="dxa"/>
            <w:tcMar>
              <w:top w:w="0" w:type="dxa"/>
              <w:bottom w:w="0" w:type="dxa"/>
            </w:tcMar>
            <w:vAlign w:val="center"/>
          </w:tcPr>
          <w:p w14:paraId="243CC673" w14:textId="77777777" w:rsidR="00A44CCF" w:rsidRDefault="00000000">
            <w:pPr>
              <w:keepNext/>
              <w:keepLines/>
              <w:spacing w:after="0" w:line="240" w:lineRule="auto"/>
              <w:jc w:val="right"/>
            </w:pPr>
            <w:r>
              <w:rPr>
                <w:sz w:val="18"/>
              </w:rPr>
              <w:t>0,00</w:t>
            </w:r>
          </w:p>
        </w:tc>
        <w:tc>
          <w:tcPr>
            <w:tcW w:w="700" w:type="dxa"/>
            <w:tcMar>
              <w:top w:w="0" w:type="dxa"/>
              <w:bottom w:w="0" w:type="dxa"/>
            </w:tcMar>
            <w:vAlign w:val="center"/>
          </w:tcPr>
          <w:p w14:paraId="4A95DF0D" w14:textId="77777777" w:rsidR="00A44CCF" w:rsidRDefault="00000000">
            <w:pPr>
              <w:keepNext/>
              <w:keepLines/>
              <w:spacing w:after="0" w:line="240" w:lineRule="auto"/>
              <w:jc w:val="right"/>
            </w:pPr>
            <w:r>
              <w:rPr>
                <w:sz w:val="18"/>
              </w:rPr>
              <w:t>-</w:t>
            </w:r>
          </w:p>
        </w:tc>
      </w:tr>
      <w:tr w:rsidR="00A44CCF" w14:paraId="24AE905C" w14:textId="77777777">
        <w:tblPrEx>
          <w:tblCellMar>
            <w:top w:w="0" w:type="dxa"/>
            <w:bottom w:w="0" w:type="dxa"/>
          </w:tblCellMar>
        </w:tblPrEx>
        <w:trPr>
          <w:cantSplit/>
          <w:trHeight w:val="560"/>
        </w:trPr>
        <w:tc>
          <w:tcPr>
            <w:tcW w:w="700" w:type="dxa"/>
            <w:tcMar>
              <w:top w:w="0" w:type="dxa"/>
              <w:bottom w:w="0" w:type="dxa"/>
            </w:tcMar>
            <w:vAlign w:val="center"/>
          </w:tcPr>
          <w:p w14:paraId="38F12F49" w14:textId="77777777" w:rsidR="00A44CCF" w:rsidRDefault="00000000">
            <w:pPr>
              <w:keepNext/>
              <w:keepLines/>
              <w:spacing w:after="0" w:line="240" w:lineRule="auto"/>
            </w:pPr>
            <w:r>
              <w:rPr>
                <w:sz w:val="18"/>
              </w:rPr>
              <w:t>5</w:t>
            </w:r>
          </w:p>
        </w:tc>
        <w:tc>
          <w:tcPr>
            <w:tcW w:w="3180" w:type="dxa"/>
            <w:tcMar>
              <w:top w:w="0" w:type="dxa"/>
              <w:bottom w:w="0" w:type="dxa"/>
            </w:tcMar>
            <w:vAlign w:val="center"/>
          </w:tcPr>
          <w:p w14:paraId="17AFDAD0" w14:textId="77777777" w:rsidR="00A44CCF"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506A287D" w14:textId="77777777" w:rsidR="00A44CCF" w:rsidRDefault="00000000">
            <w:pPr>
              <w:keepNext/>
              <w:keepLines/>
              <w:spacing w:after="0" w:line="240" w:lineRule="auto"/>
            </w:pPr>
            <w:r>
              <w:rPr>
                <w:sz w:val="18"/>
              </w:rPr>
              <w:t>5</w:t>
            </w:r>
          </w:p>
        </w:tc>
        <w:tc>
          <w:tcPr>
            <w:tcW w:w="1860" w:type="dxa"/>
            <w:tcMar>
              <w:top w:w="0" w:type="dxa"/>
              <w:bottom w:w="0" w:type="dxa"/>
            </w:tcMar>
            <w:vAlign w:val="center"/>
          </w:tcPr>
          <w:p w14:paraId="13A035D4" w14:textId="77777777" w:rsidR="00A44CCF" w:rsidRDefault="00000000">
            <w:pPr>
              <w:keepNext/>
              <w:keepLines/>
              <w:spacing w:after="0" w:line="240" w:lineRule="auto"/>
              <w:jc w:val="right"/>
            </w:pPr>
            <w:r>
              <w:rPr>
                <w:sz w:val="18"/>
              </w:rPr>
              <w:t>0,00</w:t>
            </w:r>
          </w:p>
        </w:tc>
        <w:tc>
          <w:tcPr>
            <w:tcW w:w="1860" w:type="dxa"/>
            <w:tcMar>
              <w:top w:w="0" w:type="dxa"/>
              <w:bottom w:w="0" w:type="dxa"/>
            </w:tcMar>
            <w:vAlign w:val="center"/>
          </w:tcPr>
          <w:p w14:paraId="043DC782" w14:textId="77777777" w:rsidR="00A44CCF" w:rsidRDefault="00000000">
            <w:pPr>
              <w:keepNext/>
              <w:keepLines/>
              <w:spacing w:after="0" w:line="240" w:lineRule="auto"/>
              <w:jc w:val="right"/>
            </w:pPr>
            <w:r>
              <w:rPr>
                <w:sz w:val="18"/>
              </w:rPr>
              <w:t>0,00</w:t>
            </w:r>
          </w:p>
        </w:tc>
        <w:tc>
          <w:tcPr>
            <w:tcW w:w="700" w:type="dxa"/>
            <w:tcMar>
              <w:top w:w="0" w:type="dxa"/>
              <w:bottom w:w="0" w:type="dxa"/>
            </w:tcMar>
            <w:vAlign w:val="center"/>
          </w:tcPr>
          <w:p w14:paraId="511B7043" w14:textId="77777777" w:rsidR="00A44CCF" w:rsidRDefault="00000000">
            <w:pPr>
              <w:keepNext/>
              <w:keepLines/>
              <w:spacing w:after="0" w:line="240" w:lineRule="auto"/>
              <w:jc w:val="right"/>
            </w:pPr>
            <w:r>
              <w:rPr>
                <w:sz w:val="18"/>
              </w:rPr>
              <w:t>-</w:t>
            </w:r>
          </w:p>
        </w:tc>
      </w:tr>
      <w:tr w:rsidR="00A44CCF" w14:paraId="7B53D046" w14:textId="77777777">
        <w:tblPrEx>
          <w:tblCellMar>
            <w:top w:w="0" w:type="dxa"/>
            <w:bottom w:w="0" w:type="dxa"/>
          </w:tblCellMar>
        </w:tblPrEx>
        <w:trPr>
          <w:cantSplit/>
          <w:trHeight w:val="560"/>
        </w:trPr>
        <w:tc>
          <w:tcPr>
            <w:tcW w:w="700" w:type="dxa"/>
            <w:tcMar>
              <w:top w:w="0" w:type="dxa"/>
              <w:bottom w:w="0" w:type="dxa"/>
            </w:tcMar>
            <w:vAlign w:val="center"/>
          </w:tcPr>
          <w:p w14:paraId="57E4E0FA" w14:textId="77777777" w:rsidR="00A44CCF" w:rsidRDefault="00A44CCF">
            <w:pPr>
              <w:keepNext/>
              <w:keepLines/>
              <w:spacing w:after="0" w:line="240" w:lineRule="auto"/>
            </w:pPr>
          </w:p>
        </w:tc>
        <w:tc>
          <w:tcPr>
            <w:tcW w:w="3180" w:type="dxa"/>
            <w:tcMar>
              <w:top w:w="0" w:type="dxa"/>
              <w:bottom w:w="0" w:type="dxa"/>
            </w:tcMar>
            <w:vAlign w:val="center"/>
          </w:tcPr>
          <w:p w14:paraId="0297C292" w14:textId="77777777" w:rsidR="00A44CCF"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13101629" w14:textId="77777777" w:rsidR="00A44CCF" w:rsidRDefault="00000000">
            <w:pPr>
              <w:keepNext/>
              <w:keepLines/>
              <w:spacing w:after="0" w:line="240" w:lineRule="auto"/>
            </w:pPr>
            <w:r>
              <w:rPr>
                <w:b/>
                <w:sz w:val="18"/>
              </w:rPr>
              <w:t>X003, Y003</w:t>
            </w:r>
          </w:p>
        </w:tc>
        <w:tc>
          <w:tcPr>
            <w:tcW w:w="1860" w:type="dxa"/>
            <w:tcMar>
              <w:top w:w="0" w:type="dxa"/>
              <w:bottom w:w="0" w:type="dxa"/>
            </w:tcMar>
            <w:vAlign w:val="center"/>
          </w:tcPr>
          <w:p w14:paraId="6B2EE26F" w14:textId="77777777" w:rsidR="00A44CCF" w:rsidRDefault="00000000">
            <w:pPr>
              <w:keepNext/>
              <w:keepLines/>
              <w:spacing w:after="0" w:line="240" w:lineRule="auto"/>
              <w:jc w:val="right"/>
            </w:pPr>
            <w:r>
              <w:rPr>
                <w:b/>
                <w:sz w:val="18"/>
              </w:rPr>
              <w:t>0,00</w:t>
            </w:r>
          </w:p>
        </w:tc>
        <w:tc>
          <w:tcPr>
            <w:tcW w:w="1860" w:type="dxa"/>
            <w:tcMar>
              <w:top w:w="0" w:type="dxa"/>
              <w:bottom w:w="0" w:type="dxa"/>
            </w:tcMar>
            <w:vAlign w:val="center"/>
          </w:tcPr>
          <w:p w14:paraId="00B1AE5F" w14:textId="77777777" w:rsidR="00A44CCF" w:rsidRDefault="00000000">
            <w:pPr>
              <w:keepNext/>
              <w:keepLines/>
              <w:spacing w:after="0" w:line="240" w:lineRule="auto"/>
              <w:jc w:val="right"/>
            </w:pPr>
            <w:r>
              <w:rPr>
                <w:b/>
                <w:sz w:val="18"/>
              </w:rPr>
              <w:t>0,00</w:t>
            </w:r>
          </w:p>
        </w:tc>
        <w:tc>
          <w:tcPr>
            <w:tcW w:w="700" w:type="dxa"/>
            <w:tcMar>
              <w:top w:w="0" w:type="dxa"/>
              <w:bottom w:w="0" w:type="dxa"/>
            </w:tcMar>
            <w:vAlign w:val="center"/>
          </w:tcPr>
          <w:p w14:paraId="3B7B114F" w14:textId="77777777" w:rsidR="00A44CCF" w:rsidRDefault="00000000">
            <w:pPr>
              <w:keepNext/>
              <w:keepLines/>
              <w:spacing w:after="0" w:line="240" w:lineRule="auto"/>
              <w:jc w:val="right"/>
            </w:pPr>
            <w:r>
              <w:rPr>
                <w:b/>
                <w:sz w:val="18"/>
              </w:rPr>
              <w:t>-</w:t>
            </w:r>
          </w:p>
        </w:tc>
      </w:tr>
      <w:tr w:rsidR="00A44CCF" w14:paraId="60D227AC" w14:textId="77777777">
        <w:tblPrEx>
          <w:tblCellMar>
            <w:top w:w="0" w:type="dxa"/>
            <w:bottom w:w="0" w:type="dxa"/>
          </w:tblCellMar>
        </w:tblPrEx>
        <w:trPr>
          <w:cantSplit/>
          <w:trHeight w:val="560"/>
        </w:trPr>
        <w:tc>
          <w:tcPr>
            <w:tcW w:w="700" w:type="dxa"/>
            <w:tcMar>
              <w:top w:w="0" w:type="dxa"/>
              <w:bottom w:w="0" w:type="dxa"/>
            </w:tcMar>
            <w:vAlign w:val="center"/>
          </w:tcPr>
          <w:p w14:paraId="596A0B28" w14:textId="77777777" w:rsidR="00A44CCF" w:rsidRDefault="00A44CCF">
            <w:pPr>
              <w:keepNext/>
              <w:keepLines/>
              <w:spacing w:after="0" w:line="240" w:lineRule="auto"/>
            </w:pPr>
          </w:p>
        </w:tc>
        <w:tc>
          <w:tcPr>
            <w:tcW w:w="3180" w:type="dxa"/>
            <w:tcMar>
              <w:top w:w="0" w:type="dxa"/>
              <w:bottom w:w="0" w:type="dxa"/>
            </w:tcMar>
            <w:vAlign w:val="center"/>
          </w:tcPr>
          <w:p w14:paraId="543AF5F1" w14:textId="77777777" w:rsidR="00A44CCF" w:rsidRDefault="00000000">
            <w:pPr>
              <w:keepNext/>
              <w:keepLines/>
              <w:spacing w:after="0" w:line="240" w:lineRule="auto"/>
            </w:pPr>
            <w:r>
              <w:rPr>
                <w:b/>
                <w:sz w:val="18"/>
              </w:rPr>
              <w:t>VIŠAK PRIHODA I PRIMITAKA (šifre X678-Y345)</w:t>
            </w:r>
          </w:p>
        </w:tc>
        <w:tc>
          <w:tcPr>
            <w:tcW w:w="700" w:type="dxa"/>
            <w:tcMar>
              <w:top w:w="0" w:type="dxa"/>
              <w:bottom w:w="0" w:type="dxa"/>
            </w:tcMar>
            <w:vAlign w:val="center"/>
          </w:tcPr>
          <w:p w14:paraId="74F9F46A" w14:textId="77777777" w:rsidR="00A44CCF" w:rsidRDefault="00000000">
            <w:pPr>
              <w:keepNext/>
              <w:keepLines/>
              <w:spacing w:after="0" w:line="240" w:lineRule="auto"/>
            </w:pPr>
            <w:r>
              <w:rPr>
                <w:b/>
                <w:sz w:val="18"/>
              </w:rPr>
              <w:t>X005</w:t>
            </w:r>
          </w:p>
        </w:tc>
        <w:tc>
          <w:tcPr>
            <w:tcW w:w="1860" w:type="dxa"/>
            <w:tcMar>
              <w:top w:w="0" w:type="dxa"/>
              <w:bottom w:w="0" w:type="dxa"/>
            </w:tcMar>
            <w:vAlign w:val="center"/>
          </w:tcPr>
          <w:p w14:paraId="34228CDB" w14:textId="77777777" w:rsidR="00A44CCF" w:rsidRDefault="00000000">
            <w:pPr>
              <w:keepNext/>
              <w:keepLines/>
              <w:spacing w:after="0" w:line="240" w:lineRule="auto"/>
              <w:jc w:val="right"/>
            </w:pPr>
            <w:r>
              <w:rPr>
                <w:b/>
                <w:sz w:val="18"/>
              </w:rPr>
              <w:t>2.251,83</w:t>
            </w:r>
          </w:p>
        </w:tc>
        <w:tc>
          <w:tcPr>
            <w:tcW w:w="1860" w:type="dxa"/>
            <w:tcMar>
              <w:top w:w="0" w:type="dxa"/>
              <w:bottom w:w="0" w:type="dxa"/>
            </w:tcMar>
            <w:vAlign w:val="center"/>
          </w:tcPr>
          <w:p w14:paraId="2C827B43" w14:textId="77777777" w:rsidR="00A44CCF" w:rsidRDefault="00000000">
            <w:pPr>
              <w:keepNext/>
              <w:keepLines/>
              <w:spacing w:after="0" w:line="240" w:lineRule="auto"/>
              <w:jc w:val="right"/>
            </w:pPr>
            <w:r>
              <w:rPr>
                <w:b/>
                <w:sz w:val="18"/>
              </w:rPr>
              <w:t>26.027,70</w:t>
            </w:r>
          </w:p>
        </w:tc>
        <w:tc>
          <w:tcPr>
            <w:tcW w:w="700" w:type="dxa"/>
            <w:tcMar>
              <w:top w:w="0" w:type="dxa"/>
              <w:bottom w:w="0" w:type="dxa"/>
            </w:tcMar>
            <w:vAlign w:val="center"/>
          </w:tcPr>
          <w:p w14:paraId="24BF7AAE" w14:textId="77777777" w:rsidR="00A44CCF" w:rsidRDefault="00000000">
            <w:pPr>
              <w:keepNext/>
              <w:keepLines/>
              <w:spacing w:after="0" w:line="240" w:lineRule="auto"/>
              <w:jc w:val="right"/>
            </w:pPr>
            <w:r>
              <w:rPr>
                <w:b/>
                <w:sz w:val="18"/>
              </w:rPr>
              <w:t>1155,8</w:t>
            </w:r>
          </w:p>
        </w:tc>
      </w:tr>
    </w:tbl>
    <w:p w14:paraId="7948CFBE" w14:textId="77777777" w:rsidR="00A44CCF" w:rsidRDefault="00A44CCF">
      <w:pPr>
        <w:spacing w:after="0"/>
      </w:pPr>
    </w:p>
    <w:p w14:paraId="79569931" w14:textId="59B9CD70" w:rsidR="00A44CCF" w:rsidRDefault="00000000">
      <w:pPr>
        <w:spacing w:line="240" w:lineRule="auto"/>
        <w:jc w:val="both"/>
      </w:pPr>
      <w:r>
        <w:t>Ukupni prihodi poslovanja iznose 882.487,98 eura u odnosu na prethodnu godinu veći su za 45,1% Ukupni rashodi poslovanja iznose 855.376,8 eura u odnosu na prethodnu godinu veći su za 42,3%  Višak prihoda poslovanja iznosi 27.111.20 eura</w:t>
      </w:r>
      <w:r w:rsidR="00F16744">
        <w:t>.</w:t>
      </w:r>
      <w:r>
        <w:t xml:space="preserve"> Ukupni rashodi za nabavu nefinancijske imovine iznose 1.083,50 eura u odnosu na prethodnu godinu manji su za 78,90% Manjak prihoda od  nefinancijske imovine iznosi 1.083,50 eura Višak prihoda i primitaka iznosi 26.027,70</w:t>
      </w:r>
      <w:r w:rsidR="00F16744">
        <w:t xml:space="preserve"> eura.</w:t>
      </w:r>
    </w:p>
    <w:p w14:paraId="0A3FDFAB" w14:textId="77777777" w:rsidR="00A44CCF" w:rsidRDefault="00000000">
      <w:r>
        <w:lastRenderedPageBreak/>
        <w:br/>
      </w:r>
    </w:p>
    <w:p w14:paraId="4F746821" w14:textId="77777777" w:rsidR="00A44CCF" w:rsidRDefault="00000000">
      <w:pPr>
        <w:keepNext/>
        <w:spacing w:line="240" w:lineRule="auto"/>
        <w:jc w:val="center"/>
      </w:pPr>
      <w:r>
        <w:rPr>
          <w:b/>
          <w:sz w:val="28"/>
        </w:rPr>
        <w:t>Izvještaj o obvezama</w:t>
      </w:r>
    </w:p>
    <w:p w14:paraId="3FCB9EFE" w14:textId="77777777" w:rsidR="00A44CCF"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44CCF" w14:paraId="171DD83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19F4A6C" w14:textId="77777777" w:rsidR="00A44CC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6F6C409" w14:textId="77777777" w:rsidR="00A44CC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3CB6CF4" w14:textId="77777777" w:rsidR="00A44CC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E1FB039" w14:textId="77777777" w:rsidR="00A44CCF"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0B83D8B" w14:textId="77777777" w:rsidR="00A44CCF" w:rsidRDefault="00000000">
            <w:pPr>
              <w:keepNext/>
              <w:keepLines/>
              <w:spacing w:after="0" w:line="240" w:lineRule="auto"/>
              <w:jc w:val="center"/>
            </w:pPr>
            <w:r>
              <w:rPr>
                <w:b/>
                <w:sz w:val="18"/>
              </w:rPr>
              <w:t>Indeks (%)</w:t>
            </w:r>
          </w:p>
        </w:tc>
      </w:tr>
      <w:tr w:rsidR="00A44CCF" w14:paraId="5CA641C6" w14:textId="77777777">
        <w:tblPrEx>
          <w:tblCellMar>
            <w:top w:w="0" w:type="dxa"/>
            <w:bottom w:w="0" w:type="dxa"/>
          </w:tblCellMar>
        </w:tblPrEx>
        <w:trPr>
          <w:cantSplit/>
          <w:trHeight w:val="560"/>
        </w:trPr>
        <w:tc>
          <w:tcPr>
            <w:tcW w:w="700" w:type="dxa"/>
            <w:tcMar>
              <w:top w:w="0" w:type="dxa"/>
              <w:bottom w:w="0" w:type="dxa"/>
            </w:tcMar>
            <w:vAlign w:val="center"/>
          </w:tcPr>
          <w:p w14:paraId="6EFD4E5C" w14:textId="77777777" w:rsidR="00A44CCF" w:rsidRDefault="00A44CCF">
            <w:pPr>
              <w:keepNext/>
              <w:keepLines/>
              <w:spacing w:after="0" w:line="240" w:lineRule="auto"/>
            </w:pPr>
          </w:p>
        </w:tc>
        <w:tc>
          <w:tcPr>
            <w:tcW w:w="3180" w:type="dxa"/>
            <w:tcMar>
              <w:top w:w="0" w:type="dxa"/>
              <w:bottom w:w="0" w:type="dxa"/>
            </w:tcMar>
            <w:vAlign w:val="center"/>
          </w:tcPr>
          <w:p w14:paraId="06B41417" w14:textId="77777777" w:rsidR="00A44CCF"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457362CA" w14:textId="77777777" w:rsidR="00A44CCF" w:rsidRDefault="00000000">
            <w:pPr>
              <w:keepNext/>
              <w:keepLines/>
              <w:spacing w:after="0" w:line="240" w:lineRule="auto"/>
            </w:pPr>
            <w:r>
              <w:rPr>
                <w:sz w:val="18"/>
              </w:rPr>
              <w:t>V007</w:t>
            </w:r>
          </w:p>
        </w:tc>
        <w:tc>
          <w:tcPr>
            <w:tcW w:w="1860" w:type="dxa"/>
            <w:tcMar>
              <w:top w:w="0" w:type="dxa"/>
              <w:bottom w:w="0" w:type="dxa"/>
            </w:tcMar>
            <w:vAlign w:val="center"/>
          </w:tcPr>
          <w:p w14:paraId="76A1AE34" w14:textId="77777777" w:rsidR="00A44CCF" w:rsidRDefault="00000000">
            <w:pPr>
              <w:keepNext/>
              <w:keepLines/>
              <w:spacing w:after="0" w:line="240" w:lineRule="auto"/>
              <w:jc w:val="right"/>
            </w:pPr>
            <w:r>
              <w:rPr>
                <w:sz w:val="18"/>
              </w:rPr>
              <w:t>237,18</w:t>
            </w:r>
          </w:p>
        </w:tc>
        <w:tc>
          <w:tcPr>
            <w:tcW w:w="700" w:type="dxa"/>
            <w:tcMar>
              <w:top w:w="0" w:type="dxa"/>
              <w:bottom w:w="0" w:type="dxa"/>
            </w:tcMar>
            <w:vAlign w:val="center"/>
          </w:tcPr>
          <w:p w14:paraId="33A50464" w14:textId="77777777" w:rsidR="00A44CCF" w:rsidRDefault="00000000">
            <w:pPr>
              <w:keepNext/>
              <w:keepLines/>
              <w:spacing w:after="0" w:line="240" w:lineRule="auto"/>
              <w:jc w:val="right"/>
            </w:pPr>
            <w:r>
              <w:rPr>
                <w:sz w:val="18"/>
              </w:rPr>
              <w:t>-</w:t>
            </w:r>
          </w:p>
        </w:tc>
      </w:tr>
    </w:tbl>
    <w:p w14:paraId="713633C6" w14:textId="77777777" w:rsidR="00A44CCF" w:rsidRDefault="00A44CCF">
      <w:pPr>
        <w:spacing w:after="0"/>
      </w:pPr>
    </w:p>
    <w:p w14:paraId="476D33E2" w14:textId="77777777" w:rsidR="00A44CCF" w:rsidRDefault="00000000">
      <w:pPr>
        <w:spacing w:line="240" w:lineRule="auto"/>
        <w:jc w:val="both"/>
      </w:pPr>
      <w:r>
        <w:t>Stanje obveza na dan 30.06.2025.g. iznose ukupno 12.226,15 eura  Stanje dospjelih obveza na kraju izvještajnog razdoblja iznose 237,18  odnosi se na obveze prema dobavljačima, stanje nedospjelih obveza iznose 11.988,97 eura odnosi se na obveze prema dobavljačima</w:t>
      </w:r>
    </w:p>
    <w:p w14:paraId="436C2FCE" w14:textId="77777777" w:rsidR="00A44CCF" w:rsidRDefault="00A44CCF"/>
    <w:sectPr w:rsidR="00A44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CCF"/>
    <w:rsid w:val="001639C3"/>
    <w:rsid w:val="00A44CCF"/>
    <w:rsid w:val="00F167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B7EA"/>
  <w15:docId w15:val="{35705CF4-3BAE-4AD2-BCEF-F76954A1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Dorijana</cp:lastModifiedBy>
  <cp:revision>3</cp:revision>
  <cp:lastPrinted>2025-07-09T10:59:00Z</cp:lastPrinted>
  <dcterms:created xsi:type="dcterms:W3CDTF">2025-07-09T10:58:00Z</dcterms:created>
  <dcterms:modified xsi:type="dcterms:W3CDTF">2025-07-09T10:59:00Z</dcterms:modified>
</cp:coreProperties>
</file>